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DA1AAE" w:rsidRDefault="009924E6" w:rsidP="003D4B88">
            <w:r w:rsidRPr="00DA1AAE">
              <w:t>от __________ № _________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</w:t>
      </w:r>
      <w:r w:rsidRPr="00847ED1">
        <w:rPr>
          <w:rFonts w:ascii="Times New Roman" w:hAnsi="Times New Roman" w:cs="Times New Roman"/>
          <w:color w:val="auto"/>
        </w:rPr>
        <w:lastRenderedPageBreak/>
        <w:t>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</w:t>
      </w:r>
      <w:r w:rsidR="00024589" w:rsidRPr="00723E4C">
        <w:rPr>
          <w:rFonts w:ascii="Times New Roman" w:hAnsi="Times New Roman" w:cs="Times New Roman"/>
          <w:color w:val="auto"/>
        </w:rPr>
        <w:lastRenderedPageBreak/>
        <w:t xml:space="preserve">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8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0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CB1" w:rsidRDefault="00623CB1" w:rsidP="00746671">
      <w:r>
        <w:separator/>
      </w:r>
    </w:p>
  </w:endnote>
  <w:endnote w:type="continuationSeparator" w:id="0">
    <w:p w:rsidR="00623CB1" w:rsidRDefault="00623CB1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C240AC">
        <w:pPr>
          <w:pStyle w:val="ab"/>
          <w:jc w:val="center"/>
        </w:pPr>
        <w:r>
          <w:fldChar w:fldCharType="begin"/>
        </w:r>
        <w:r w:rsidR="00664623">
          <w:instrText>PAGE   \* MERGEFORMAT</w:instrText>
        </w:r>
        <w:r>
          <w:fldChar w:fldCharType="separate"/>
        </w:r>
        <w:r w:rsidR="00676164">
          <w:rPr>
            <w:noProof/>
          </w:rPr>
          <w:t>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CB1" w:rsidRDefault="00623CB1" w:rsidP="00746671">
      <w:r>
        <w:separator/>
      </w:r>
    </w:p>
  </w:footnote>
  <w:footnote w:type="continuationSeparator" w:id="0">
    <w:p w:rsidR="00623CB1" w:rsidRDefault="00623CB1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1FAD"/>
    <w:rsid w:val="00474092"/>
    <w:rsid w:val="00476DF1"/>
    <w:rsid w:val="0048365C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23CB1"/>
    <w:rsid w:val="00630258"/>
    <w:rsid w:val="006316ED"/>
    <w:rsid w:val="00652543"/>
    <w:rsid w:val="0066289A"/>
    <w:rsid w:val="00664623"/>
    <w:rsid w:val="006667A1"/>
    <w:rsid w:val="0067105E"/>
    <w:rsid w:val="00674814"/>
    <w:rsid w:val="0067616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329B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40AC"/>
    <w:rsid w:val="00C25CB4"/>
    <w:rsid w:val="00C30B7F"/>
    <w:rsid w:val="00C321D7"/>
    <w:rsid w:val="00C36336"/>
    <w:rsid w:val="00C376FF"/>
    <w:rsid w:val="00C55F96"/>
    <w:rsid w:val="00C612FB"/>
    <w:rsid w:val="00C704E5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14FE7C-CEA1-4C4E-A9AF-79164FD6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8DCK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7C1A2474DCDC90ED79E521EDBEBFBEF1710CF8B8D8579DC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F260-6165-4C3A-B630-97C4D50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8117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mdou1</cp:lastModifiedBy>
  <cp:revision>2</cp:revision>
  <cp:lastPrinted>2016-11-23T07:46:00Z</cp:lastPrinted>
  <dcterms:created xsi:type="dcterms:W3CDTF">2022-05-23T07:25:00Z</dcterms:created>
  <dcterms:modified xsi:type="dcterms:W3CDTF">2022-05-23T07:25:00Z</dcterms:modified>
</cp:coreProperties>
</file>